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A3" w:rsidRPr="008678AE" w:rsidRDefault="000E7FA3" w:rsidP="000E7FA3">
      <w:pPr>
        <w:rPr>
          <w:b/>
          <w:bCs/>
        </w:rPr>
      </w:pPr>
    </w:p>
    <w:p w:rsidR="000E7FA3" w:rsidRPr="008678AE" w:rsidRDefault="000E7FA3" w:rsidP="000E7FA3">
      <w:pPr>
        <w:pStyle w:val="Balk1"/>
        <w:rPr>
          <w:rFonts w:ascii="Times New Roman" w:hAnsi="Times New Roman" w:cs="Times New Roman"/>
          <w:b w:val="0"/>
        </w:rPr>
      </w:pPr>
      <w:r w:rsidRPr="008678AE">
        <w:rPr>
          <w:rFonts w:ascii="Times New Roman" w:hAnsi="Times New Roman" w:cs="Times New Roman"/>
          <w:b w:val="0"/>
        </w:rPr>
        <w:t xml:space="preserve">ARDAHAN ÜNİVERSİTESİ </w:t>
      </w:r>
    </w:p>
    <w:p w:rsidR="000E7FA3" w:rsidRPr="008678AE" w:rsidRDefault="000E7FA3" w:rsidP="000E7FA3">
      <w:pPr>
        <w:jc w:val="center"/>
      </w:pPr>
      <w:r w:rsidRPr="008678AE">
        <w:t xml:space="preserve">İKTİSADİ VE İDARİ BİLİMLER FAKÜLTESİ </w:t>
      </w:r>
    </w:p>
    <w:p w:rsidR="000E7FA3" w:rsidRPr="008678AE" w:rsidRDefault="000E7FA3" w:rsidP="000E7FA3">
      <w:pPr>
        <w:jc w:val="center"/>
      </w:pPr>
      <w:r w:rsidRPr="008678AE">
        <w:t>………………………..BÖLÜM BAŞKANLIĞINA</w:t>
      </w:r>
    </w:p>
    <w:p w:rsidR="000E7FA3" w:rsidRPr="008678AE" w:rsidRDefault="000E7FA3" w:rsidP="000E7FA3">
      <w:pPr>
        <w:numPr>
          <w:ilvl w:val="0"/>
          <w:numId w:val="1"/>
        </w:numPr>
        <w:jc w:val="center"/>
        <w:rPr>
          <w:b/>
        </w:rPr>
      </w:pPr>
    </w:p>
    <w:p w:rsidR="000E7FA3" w:rsidRPr="008678AE" w:rsidRDefault="000E7FA3" w:rsidP="000E7FA3">
      <w:pPr>
        <w:numPr>
          <w:ilvl w:val="0"/>
          <w:numId w:val="1"/>
        </w:numPr>
        <w:ind w:right="-20"/>
        <w:jc w:val="right"/>
        <w:rPr>
          <w:rFonts w:eastAsia="Candara"/>
        </w:rPr>
      </w:pPr>
      <w:r>
        <w:rPr>
          <w:rFonts w:eastAsia="Candara"/>
          <w:b/>
          <w:bCs/>
          <w:spacing w:val="-1"/>
        </w:rPr>
        <w:t>Tek Ders Sınavı Başvuru Dilekçesi</w:t>
      </w:r>
    </w:p>
    <w:p w:rsidR="000E7FA3" w:rsidRPr="008678AE" w:rsidRDefault="000E7FA3" w:rsidP="000E7FA3">
      <w:pPr>
        <w:numPr>
          <w:ilvl w:val="0"/>
          <w:numId w:val="1"/>
        </w:numPr>
        <w:spacing w:before="12" w:line="220" w:lineRule="exact"/>
      </w:pPr>
    </w:p>
    <w:tbl>
      <w:tblPr>
        <w:tblW w:w="9076" w:type="dxa"/>
        <w:tblInd w:w="14" w:type="dxa"/>
        <w:tblLayout w:type="fixed"/>
        <w:tblCellMar>
          <w:left w:w="0" w:type="dxa"/>
          <w:right w:w="0" w:type="dxa"/>
        </w:tblCellMar>
        <w:tblLook w:val="01E0" w:firstRow="1" w:lastRow="1" w:firstColumn="1" w:lastColumn="1" w:noHBand="0" w:noVBand="0"/>
      </w:tblPr>
      <w:tblGrid>
        <w:gridCol w:w="1907"/>
        <w:gridCol w:w="7169"/>
      </w:tblGrid>
      <w:tr w:rsidR="000E7FA3" w:rsidRPr="008678AE" w:rsidTr="00826DD9">
        <w:trPr>
          <w:trHeight w:hRule="exact" w:val="406"/>
        </w:trPr>
        <w:tc>
          <w:tcPr>
            <w:tcW w:w="9076" w:type="dxa"/>
            <w:gridSpan w:val="2"/>
            <w:tcBorders>
              <w:top w:val="single" w:sz="5" w:space="0" w:color="000000"/>
              <w:left w:val="single" w:sz="11" w:space="0" w:color="000000"/>
              <w:bottom w:val="single" w:sz="12" w:space="0" w:color="000000"/>
              <w:right w:val="single" w:sz="4" w:space="0" w:color="000000"/>
            </w:tcBorders>
          </w:tcPr>
          <w:p w:rsidR="000E7FA3" w:rsidRPr="008678AE" w:rsidRDefault="000E7FA3" w:rsidP="00826DD9">
            <w:pPr>
              <w:spacing w:before="79"/>
              <w:ind w:left="93" w:right="-20"/>
              <w:rPr>
                <w:rFonts w:eastAsia="Candara"/>
              </w:rPr>
            </w:pPr>
            <w:r w:rsidRPr="008678AE">
              <w:rPr>
                <w:rFonts w:eastAsia="Candara"/>
                <w:b/>
                <w:bCs/>
              </w:rPr>
              <w:t>KİMLİK</w:t>
            </w:r>
            <w:r w:rsidRPr="008678AE">
              <w:rPr>
                <w:rFonts w:eastAsia="Candara"/>
                <w:b/>
                <w:bCs/>
                <w:spacing w:val="-6"/>
              </w:rPr>
              <w:t xml:space="preserve"> </w:t>
            </w:r>
            <w:r w:rsidRPr="008678AE">
              <w:rPr>
                <w:rFonts w:eastAsia="Candara"/>
                <w:b/>
                <w:bCs/>
                <w:spacing w:val="1"/>
              </w:rPr>
              <w:t>B</w:t>
            </w:r>
            <w:r w:rsidRPr="008678AE">
              <w:rPr>
                <w:rFonts w:eastAsia="Candara"/>
                <w:b/>
                <w:bCs/>
                <w:spacing w:val="2"/>
              </w:rPr>
              <w:t>İ</w:t>
            </w:r>
            <w:r w:rsidRPr="008678AE">
              <w:rPr>
                <w:rFonts w:eastAsia="Candara"/>
                <w:b/>
                <w:bCs/>
                <w:spacing w:val="-1"/>
              </w:rPr>
              <w:t>L</w:t>
            </w:r>
            <w:r w:rsidRPr="008678AE">
              <w:rPr>
                <w:rFonts w:eastAsia="Candara"/>
                <w:b/>
                <w:bCs/>
                <w:spacing w:val="1"/>
              </w:rPr>
              <w:t>G</w:t>
            </w:r>
            <w:r w:rsidRPr="008678AE">
              <w:rPr>
                <w:rFonts w:eastAsia="Candara"/>
                <w:b/>
                <w:bCs/>
              </w:rPr>
              <w:t>İ</w:t>
            </w:r>
            <w:r w:rsidRPr="008678AE">
              <w:rPr>
                <w:rFonts w:eastAsia="Candara"/>
                <w:b/>
                <w:bCs/>
                <w:spacing w:val="-1"/>
              </w:rPr>
              <w:t>L</w:t>
            </w:r>
            <w:r w:rsidRPr="008678AE">
              <w:rPr>
                <w:rFonts w:eastAsia="Candara"/>
                <w:b/>
                <w:bCs/>
                <w:spacing w:val="3"/>
              </w:rPr>
              <w:t>E</w:t>
            </w:r>
            <w:r w:rsidRPr="008678AE">
              <w:rPr>
                <w:rFonts w:eastAsia="Candara"/>
                <w:b/>
                <w:bCs/>
                <w:spacing w:val="-1"/>
              </w:rPr>
              <w:t>R</w:t>
            </w:r>
            <w:r w:rsidRPr="008678AE">
              <w:rPr>
                <w:rFonts w:eastAsia="Candara"/>
                <w:b/>
                <w:bCs/>
              </w:rPr>
              <w:t>İ</w:t>
            </w:r>
            <w:r w:rsidRPr="008678AE">
              <w:rPr>
                <w:rFonts w:eastAsia="Candara"/>
                <w:b/>
                <w:bCs/>
                <w:spacing w:val="-7"/>
              </w:rPr>
              <w:t xml:space="preserve"> </w:t>
            </w:r>
            <w:r w:rsidRPr="008678AE">
              <w:rPr>
                <w:rFonts w:eastAsia="Candara"/>
                <w:spacing w:val="1"/>
              </w:rPr>
              <w:t>(</w:t>
            </w:r>
            <w:r w:rsidRPr="008678AE">
              <w:rPr>
                <w:rFonts w:eastAsia="Candara"/>
              </w:rPr>
              <w:t>Tüm</w:t>
            </w:r>
            <w:r w:rsidRPr="008678AE">
              <w:rPr>
                <w:rFonts w:eastAsia="Candara"/>
                <w:spacing w:val="1"/>
              </w:rPr>
              <w:t xml:space="preserve"> </w:t>
            </w:r>
            <w:r w:rsidRPr="008678AE">
              <w:rPr>
                <w:rFonts w:eastAsia="Candara"/>
              </w:rPr>
              <w:t>a</w:t>
            </w:r>
            <w:r w:rsidRPr="008678AE">
              <w:rPr>
                <w:rFonts w:eastAsia="Candara"/>
                <w:spacing w:val="-1"/>
              </w:rPr>
              <w:t>l</w:t>
            </w:r>
            <w:r w:rsidRPr="008678AE">
              <w:rPr>
                <w:rFonts w:eastAsia="Candara"/>
              </w:rPr>
              <w:t>an</w:t>
            </w:r>
            <w:r w:rsidRPr="008678AE">
              <w:rPr>
                <w:rFonts w:eastAsia="Candara"/>
                <w:spacing w:val="-1"/>
              </w:rPr>
              <w:t>l</w:t>
            </w:r>
            <w:r w:rsidRPr="008678AE">
              <w:rPr>
                <w:rFonts w:eastAsia="Candara"/>
              </w:rPr>
              <w:t>a</w:t>
            </w:r>
            <w:r w:rsidRPr="008678AE">
              <w:rPr>
                <w:rFonts w:eastAsia="Candara"/>
                <w:spacing w:val="-2"/>
              </w:rPr>
              <w:t>r</w:t>
            </w:r>
            <w:r w:rsidRPr="008678AE">
              <w:rPr>
                <w:rFonts w:eastAsia="Candara"/>
              </w:rPr>
              <w:t>ı d</w:t>
            </w:r>
            <w:r w:rsidRPr="008678AE">
              <w:rPr>
                <w:rFonts w:eastAsia="Candara"/>
                <w:spacing w:val="-1"/>
              </w:rPr>
              <w:t>ol</w:t>
            </w:r>
            <w:r w:rsidRPr="008678AE">
              <w:rPr>
                <w:rFonts w:eastAsia="Candara"/>
              </w:rPr>
              <w:t>durun</w:t>
            </w:r>
            <w:r w:rsidRPr="008678AE">
              <w:rPr>
                <w:rFonts w:eastAsia="Candara"/>
                <w:spacing w:val="-2"/>
              </w:rPr>
              <w:t>u</w:t>
            </w:r>
            <w:r w:rsidRPr="008678AE">
              <w:rPr>
                <w:rFonts w:eastAsia="Candara"/>
                <w:spacing w:val="1"/>
              </w:rPr>
              <w:t>z</w:t>
            </w:r>
            <w:r w:rsidRPr="008678AE">
              <w:rPr>
                <w:rFonts w:eastAsia="Candara"/>
              </w:rPr>
              <w:t>)</w:t>
            </w:r>
          </w:p>
        </w:tc>
      </w:tr>
      <w:tr w:rsidR="000E7FA3" w:rsidRPr="008678AE" w:rsidTr="00826DD9">
        <w:trPr>
          <w:trHeight w:hRule="exact" w:val="395"/>
        </w:trPr>
        <w:tc>
          <w:tcPr>
            <w:tcW w:w="1907" w:type="dxa"/>
            <w:tcBorders>
              <w:top w:val="single" w:sz="13" w:space="0" w:color="000000"/>
              <w:left w:val="single" w:sz="11" w:space="0" w:color="000000"/>
              <w:bottom w:val="single" w:sz="4" w:space="0" w:color="000000"/>
              <w:right w:val="single" w:sz="4" w:space="0" w:color="000000"/>
            </w:tcBorders>
          </w:tcPr>
          <w:p w:rsidR="000E7FA3" w:rsidRPr="00F357B5" w:rsidRDefault="000E7FA3" w:rsidP="00826DD9">
            <w:pPr>
              <w:spacing w:before="69"/>
              <w:ind w:left="93" w:right="-20"/>
              <w:rPr>
                <w:rFonts w:eastAsia="Candara"/>
              </w:rPr>
            </w:pPr>
            <w:r w:rsidRPr="00F357B5">
              <w:rPr>
                <w:rFonts w:eastAsia="Candara"/>
              </w:rPr>
              <w:t>Adı</w:t>
            </w:r>
            <w:r w:rsidRPr="00F357B5">
              <w:rPr>
                <w:rFonts w:eastAsia="Candara"/>
                <w:spacing w:val="-3"/>
              </w:rPr>
              <w:t xml:space="preserve"> </w:t>
            </w:r>
            <w:r w:rsidRPr="00F357B5">
              <w:rPr>
                <w:rFonts w:eastAsia="Candara"/>
              </w:rPr>
              <w:t>ve</w:t>
            </w:r>
            <w:r w:rsidRPr="00F357B5">
              <w:rPr>
                <w:rFonts w:eastAsia="Candara"/>
                <w:spacing w:val="-1"/>
              </w:rPr>
              <w:t xml:space="preserve"> So</w:t>
            </w:r>
            <w:r w:rsidRPr="00F357B5">
              <w:rPr>
                <w:rFonts w:eastAsia="Candara"/>
                <w:spacing w:val="1"/>
              </w:rPr>
              <w:t>y</w:t>
            </w:r>
            <w:r w:rsidRPr="00F357B5">
              <w:rPr>
                <w:rFonts w:eastAsia="Candara"/>
              </w:rPr>
              <w:t>a</w:t>
            </w:r>
            <w:r w:rsidRPr="00F357B5">
              <w:rPr>
                <w:rFonts w:eastAsia="Candara"/>
                <w:spacing w:val="1"/>
              </w:rPr>
              <w:t>d</w:t>
            </w:r>
            <w:r w:rsidRPr="00F357B5">
              <w:rPr>
                <w:rFonts w:eastAsia="Candara"/>
              </w:rPr>
              <w:t>ı</w:t>
            </w:r>
          </w:p>
        </w:tc>
        <w:tc>
          <w:tcPr>
            <w:tcW w:w="7168" w:type="dxa"/>
            <w:tcBorders>
              <w:top w:val="single" w:sz="12" w:space="0" w:color="000000"/>
              <w:left w:val="single" w:sz="4" w:space="0" w:color="000000"/>
              <w:bottom w:val="single" w:sz="4" w:space="0" w:color="000000"/>
              <w:right w:val="single" w:sz="4" w:space="0" w:color="000000"/>
            </w:tcBorders>
          </w:tcPr>
          <w:p w:rsidR="000E7FA3" w:rsidRPr="008678AE" w:rsidRDefault="000E7FA3" w:rsidP="00826DD9"/>
        </w:tc>
      </w:tr>
      <w:tr w:rsidR="000E7FA3" w:rsidRPr="008678AE" w:rsidTr="00826DD9">
        <w:trPr>
          <w:trHeight w:hRule="exact" w:val="383"/>
        </w:trPr>
        <w:tc>
          <w:tcPr>
            <w:tcW w:w="1907" w:type="dxa"/>
            <w:tcBorders>
              <w:top w:val="single" w:sz="4" w:space="0" w:color="000000"/>
              <w:left w:val="single" w:sz="11" w:space="0" w:color="000000"/>
              <w:bottom w:val="single" w:sz="4" w:space="0" w:color="000000"/>
              <w:right w:val="single" w:sz="4" w:space="0" w:color="000000"/>
            </w:tcBorders>
          </w:tcPr>
          <w:p w:rsidR="000E7FA3" w:rsidRPr="00F357B5" w:rsidRDefault="000E7FA3" w:rsidP="00826DD9">
            <w:pPr>
              <w:spacing w:before="67"/>
              <w:ind w:left="93" w:right="-20"/>
              <w:rPr>
                <w:rFonts w:eastAsia="Candara"/>
              </w:rPr>
            </w:pPr>
            <w:r w:rsidRPr="00F357B5">
              <w:rPr>
                <w:rFonts w:eastAsia="Candara"/>
                <w:spacing w:val="1"/>
              </w:rPr>
              <w:t>Ö</w:t>
            </w:r>
            <w:r w:rsidRPr="00F357B5">
              <w:rPr>
                <w:rFonts w:eastAsia="Candara"/>
              </w:rPr>
              <w:t>ğ</w:t>
            </w:r>
            <w:r w:rsidRPr="00F357B5">
              <w:rPr>
                <w:rFonts w:eastAsia="Candara"/>
                <w:spacing w:val="-1"/>
              </w:rPr>
              <w:t>r</w:t>
            </w:r>
            <w:r w:rsidRPr="00F357B5">
              <w:rPr>
                <w:rFonts w:eastAsia="Candara"/>
                <w:spacing w:val="1"/>
              </w:rPr>
              <w:t>e</w:t>
            </w:r>
            <w:r w:rsidRPr="00F357B5">
              <w:rPr>
                <w:rFonts w:eastAsia="Candara"/>
              </w:rPr>
              <w:t>n</w:t>
            </w:r>
            <w:r w:rsidRPr="00F357B5">
              <w:rPr>
                <w:rFonts w:eastAsia="Candara"/>
                <w:spacing w:val="-1"/>
              </w:rPr>
              <w:t>c</w:t>
            </w:r>
            <w:r w:rsidRPr="00F357B5">
              <w:rPr>
                <w:rFonts w:eastAsia="Candara"/>
              </w:rPr>
              <w:t>i</w:t>
            </w:r>
            <w:r w:rsidRPr="00F357B5">
              <w:rPr>
                <w:rFonts w:eastAsia="Candara"/>
                <w:spacing w:val="-7"/>
              </w:rPr>
              <w:t xml:space="preserve"> </w:t>
            </w:r>
            <w:r w:rsidRPr="00F357B5">
              <w:rPr>
                <w:rFonts w:eastAsia="Candara"/>
                <w:spacing w:val="2"/>
              </w:rPr>
              <w:t>N</w:t>
            </w:r>
            <w:r w:rsidRPr="00F357B5">
              <w:rPr>
                <w:rFonts w:eastAsia="Candara"/>
              </w:rPr>
              <w:t>o</w:t>
            </w:r>
          </w:p>
        </w:tc>
        <w:tc>
          <w:tcPr>
            <w:tcW w:w="7168" w:type="dxa"/>
            <w:tcBorders>
              <w:top w:val="single" w:sz="4" w:space="0" w:color="000000"/>
              <w:left w:val="single" w:sz="4" w:space="0" w:color="000000"/>
              <w:bottom w:val="single" w:sz="4" w:space="0" w:color="000000"/>
              <w:right w:val="single" w:sz="4" w:space="0" w:color="000000"/>
            </w:tcBorders>
          </w:tcPr>
          <w:p w:rsidR="000E7FA3" w:rsidRPr="008678AE" w:rsidRDefault="000E7FA3" w:rsidP="00826DD9"/>
        </w:tc>
      </w:tr>
      <w:tr w:rsidR="000E7FA3" w:rsidRPr="008678AE" w:rsidTr="00826DD9">
        <w:trPr>
          <w:trHeight w:hRule="exact" w:val="383"/>
        </w:trPr>
        <w:tc>
          <w:tcPr>
            <w:tcW w:w="1907" w:type="dxa"/>
            <w:tcBorders>
              <w:top w:val="single" w:sz="4" w:space="0" w:color="000000"/>
              <w:left w:val="single" w:sz="11" w:space="0" w:color="000000"/>
              <w:bottom w:val="single" w:sz="4" w:space="0" w:color="000000"/>
              <w:right w:val="single" w:sz="4" w:space="0" w:color="000000"/>
            </w:tcBorders>
          </w:tcPr>
          <w:p w:rsidR="000E7FA3" w:rsidRPr="00F357B5" w:rsidRDefault="000E7FA3" w:rsidP="00826DD9">
            <w:pPr>
              <w:spacing w:before="67"/>
              <w:ind w:left="93" w:right="-20"/>
              <w:rPr>
                <w:rFonts w:eastAsia="Candara"/>
              </w:rPr>
            </w:pPr>
            <w:r w:rsidRPr="00F357B5">
              <w:rPr>
                <w:rFonts w:eastAsia="Candara"/>
              </w:rPr>
              <w:t>Tel</w:t>
            </w:r>
            <w:r w:rsidRPr="00F357B5">
              <w:rPr>
                <w:rFonts w:eastAsia="Candara"/>
                <w:spacing w:val="1"/>
              </w:rPr>
              <w:t>e</w:t>
            </w:r>
            <w:r w:rsidRPr="00F357B5">
              <w:rPr>
                <w:rFonts w:eastAsia="Candara"/>
              </w:rPr>
              <w:t>f</w:t>
            </w:r>
            <w:r w:rsidRPr="00F357B5">
              <w:rPr>
                <w:rFonts w:eastAsia="Candara"/>
                <w:spacing w:val="-1"/>
              </w:rPr>
              <w:t>o</w:t>
            </w:r>
            <w:r w:rsidRPr="00F357B5">
              <w:rPr>
                <w:rFonts w:eastAsia="Candara"/>
              </w:rPr>
              <w:t>n</w:t>
            </w:r>
          </w:p>
        </w:tc>
        <w:tc>
          <w:tcPr>
            <w:tcW w:w="7168" w:type="dxa"/>
            <w:tcBorders>
              <w:top w:val="single" w:sz="4" w:space="0" w:color="000000"/>
              <w:left w:val="single" w:sz="4" w:space="0" w:color="000000"/>
              <w:bottom w:val="single" w:sz="4" w:space="0" w:color="000000"/>
              <w:right w:val="single" w:sz="4" w:space="0" w:color="000000"/>
            </w:tcBorders>
          </w:tcPr>
          <w:p w:rsidR="000E7FA3" w:rsidRPr="008678AE" w:rsidRDefault="000E7FA3" w:rsidP="00826DD9"/>
        </w:tc>
      </w:tr>
      <w:tr w:rsidR="000E7FA3" w:rsidRPr="008678AE" w:rsidTr="00826DD9">
        <w:trPr>
          <w:trHeight w:hRule="exact" w:val="384"/>
        </w:trPr>
        <w:tc>
          <w:tcPr>
            <w:tcW w:w="1907" w:type="dxa"/>
            <w:tcBorders>
              <w:top w:val="single" w:sz="4" w:space="0" w:color="000000"/>
              <w:left w:val="single" w:sz="11" w:space="0" w:color="000000"/>
              <w:bottom w:val="single" w:sz="4" w:space="0" w:color="000000"/>
              <w:right w:val="single" w:sz="4" w:space="0" w:color="000000"/>
            </w:tcBorders>
          </w:tcPr>
          <w:p w:rsidR="000E7FA3" w:rsidRPr="00F357B5" w:rsidRDefault="000E7FA3" w:rsidP="00826DD9">
            <w:pPr>
              <w:spacing w:before="67"/>
              <w:ind w:left="93" w:right="-20"/>
              <w:rPr>
                <w:rFonts w:eastAsia="Candara"/>
              </w:rPr>
            </w:pPr>
            <w:r w:rsidRPr="00F357B5">
              <w:rPr>
                <w:rFonts w:eastAsia="Candara"/>
              </w:rPr>
              <w:t>Adres</w:t>
            </w:r>
          </w:p>
        </w:tc>
        <w:tc>
          <w:tcPr>
            <w:tcW w:w="7168" w:type="dxa"/>
            <w:tcBorders>
              <w:top w:val="single" w:sz="4" w:space="0" w:color="000000"/>
              <w:left w:val="single" w:sz="4" w:space="0" w:color="000000"/>
              <w:bottom w:val="single" w:sz="4" w:space="0" w:color="000000"/>
              <w:right w:val="single" w:sz="4" w:space="0" w:color="000000"/>
            </w:tcBorders>
          </w:tcPr>
          <w:p w:rsidR="000E7FA3" w:rsidRPr="008678AE" w:rsidRDefault="000E7FA3" w:rsidP="00826DD9"/>
        </w:tc>
      </w:tr>
      <w:tr w:rsidR="000E7FA3" w:rsidRPr="008678AE" w:rsidTr="00826DD9">
        <w:trPr>
          <w:trHeight w:hRule="exact" w:val="393"/>
        </w:trPr>
        <w:tc>
          <w:tcPr>
            <w:tcW w:w="1907" w:type="dxa"/>
            <w:tcBorders>
              <w:top w:val="single" w:sz="4" w:space="0" w:color="000000"/>
              <w:left w:val="single" w:sz="11" w:space="0" w:color="000000"/>
              <w:bottom w:val="single" w:sz="12" w:space="0" w:color="000000"/>
              <w:right w:val="single" w:sz="4" w:space="0" w:color="000000"/>
            </w:tcBorders>
          </w:tcPr>
          <w:p w:rsidR="000E7FA3" w:rsidRPr="00F357B5" w:rsidRDefault="000E7FA3" w:rsidP="00826DD9">
            <w:pPr>
              <w:spacing w:before="67"/>
              <w:ind w:left="93" w:right="-20"/>
              <w:rPr>
                <w:rFonts w:eastAsia="Candara"/>
              </w:rPr>
            </w:pPr>
            <w:r w:rsidRPr="00F357B5">
              <w:rPr>
                <w:rFonts w:eastAsia="Candara"/>
                <w:spacing w:val="1"/>
              </w:rPr>
              <w:t>e</w:t>
            </w:r>
            <w:r w:rsidRPr="00F357B5">
              <w:rPr>
                <w:rFonts w:eastAsia="Candara"/>
              </w:rPr>
              <w:t>-p</w:t>
            </w:r>
            <w:r w:rsidRPr="00F357B5">
              <w:rPr>
                <w:rFonts w:eastAsia="Candara"/>
                <w:spacing w:val="-1"/>
              </w:rPr>
              <w:t>o</w:t>
            </w:r>
            <w:r w:rsidRPr="00F357B5">
              <w:rPr>
                <w:rFonts w:eastAsia="Candara"/>
              </w:rPr>
              <w:t>s</w:t>
            </w:r>
            <w:r w:rsidRPr="00F357B5">
              <w:rPr>
                <w:rFonts w:eastAsia="Candara"/>
                <w:spacing w:val="1"/>
              </w:rPr>
              <w:t>t</w:t>
            </w:r>
            <w:r w:rsidRPr="00F357B5">
              <w:rPr>
                <w:rFonts w:eastAsia="Candara"/>
              </w:rPr>
              <w:t>a</w:t>
            </w:r>
          </w:p>
        </w:tc>
        <w:tc>
          <w:tcPr>
            <w:tcW w:w="7168" w:type="dxa"/>
            <w:tcBorders>
              <w:top w:val="single" w:sz="4" w:space="0" w:color="000000"/>
              <w:left w:val="single" w:sz="4" w:space="0" w:color="000000"/>
              <w:bottom w:val="single" w:sz="12" w:space="0" w:color="000000"/>
              <w:right w:val="single" w:sz="4" w:space="0" w:color="000000"/>
            </w:tcBorders>
          </w:tcPr>
          <w:p w:rsidR="000E7FA3" w:rsidRPr="008678AE" w:rsidRDefault="000E7FA3" w:rsidP="00826DD9"/>
        </w:tc>
      </w:tr>
    </w:tbl>
    <w:p w:rsidR="000E7FA3" w:rsidRPr="008678AE" w:rsidRDefault="000E7FA3" w:rsidP="000E7FA3">
      <w:pPr>
        <w:numPr>
          <w:ilvl w:val="0"/>
          <w:numId w:val="1"/>
        </w:numPr>
        <w:jc w:val="center"/>
        <w:rPr>
          <w:b/>
        </w:rPr>
      </w:pPr>
    </w:p>
    <w:p w:rsidR="000E7FA3" w:rsidRPr="008678AE" w:rsidRDefault="000E7FA3" w:rsidP="000E7FA3">
      <w:pPr>
        <w:pStyle w:val="GvdeMetni"/>
        <w:spacing w:line="360" w:lineRule="auto"/>
        <w:jc w:val="both"/>
      </w:pPr>
      <w:r w:rsidRPr="008678AE">
        <w:tab/>
      </w:r>
      <w:r>
        <w:t xml:space="preserve">Fakülteniz </w:t>
      </w:r>
      <w:r>
        <w:rPr>
          <w:bCs/>
        </w:rPr>
        <w:t>.......................................................................</w:t>
      </w:r>
      <w:r>
        <w:t xml:space="preserve"> Bölümü ......</w:t>
      </w:r>
      <w:r>
        <w:rPr>
          <w:bCs/>
        </w:rPr>
        <w:t>.............................</w:t>
      </w:r>
      <w:r>
        <w:t xml:space="preserve"> numaralı …… sınıf öğrencisiyim. .................. kodlu .................................................................  dersinden </w:t>
      </w:r>
      <w:r w:rsidRPr="00385D35">
        <w:t>tek ders sınavına</w:t>
      </w:r>
      <w:r>
        <w:t xml:space="preserve"> girmek istiyorum.</w:t>
      </w:r>
      <w:bookmarkStart w:id="0" w:name="_GoBack"/>
      <w:bookmarkEnd w:id="0"/>
    </w:p>
    <w:p w:rsidR="000E7FA3" w:rsidRPr="008678AE" w:rsidRDefault="000E7FA3" w:rsidP="000E7FA3">
      <w:pPr>
        <w:spacing w:line="360" w:lineRule="auto"/>
      </w:pPr>
      <w:r w:rsidRPr="008678AE">
        <w:tab/>
        <w:t xml:space="preserve">      Bilgilerinizi ve gereğini arz ederim  ../…/201...</w:t>
      </w:r>
    </w:p>
    <w:p w:rsidR="000E7FA3" w:rsidRPr="008678AE" w:rsidRDefault="000E7FA3" w:rsidP="000E7FA3">
      <w:pPr>
        <w:spacing w:line="360" w:lineRule="auto"/>
      </w:pPr>
    </w:p>
    <w:p w:rsidR="000E7FA3" w:rsidRPr="008678AE" w:rsidRDefault="000E7FA3" w:rsidP="000E7FA3">
      <w:pPr>
        <w:ind w:left="7788"/>
      </w:pPr>
      <w:r w:rsidRPr="008678AE">
        <w:t xml:space="preserve">    </w:t>
      </w:r>
    </w:p>
    <w:p w:rsidR="000E7FA3" w:rsidRPr="008678AE" w:rsidRDefault="000E7FA3" w:rsidP="000E7FA3">
      <w:pPr>
        <w:ind w:left="4956" w:firstLine="709"/>
      </w:pPr>
      <w:r w:rsidRPr="008678AE">
        <w:t xml:space="preserve"> İmza            : …………………             </w:t>
      </w:r>
      <w:r w:rsidRPr="008678AE">
        <w:tab/>
      </w:r>
      <w:r w:rsidRPr="008678AE">
        <w:tab/>
      </w:r>
      <w:r w:rsidRPr="008678AE">
        <w:tab/>
      </w:r>
      <w:r w:rsidRPr="008678AE">
        <w:tab/>
      </w:r>
      <w:r w:rsidRPr="008678AE">
        <w:tab/>
      </w:r>
    </w:p>
    <w:p w:rsidR="000E7FA3" w:rsidRPr="008678AE" w:rsidRDefault="000E7FA3" w:rsidP="000E7FA3">
      <w:pPr>
        <w:rPr>
          <w:b/>
          <w:u w:val="single"/>
        </w:rPr>
      </w:pPr>
      <w:r>
        <w:rPr>
          <w:b/>
          <w:u w:val="single"/>
        </w:rPr>
        <w:t>Sınava Girmek İstediğim D</w:t>
      </w:r>
      <w:r w:rsidRPr="008678AE">
        <w:rPr>
          <w:b/>
          <w:u w:val="single"/>
        </w:rPr>
        <w:t>ersin</w:t>
      </w:r>
    </w:p>
    <w:p w:rsidR="000E7FA3" w:rsidRPr="008678AE" w:rsidRDefault="000E7FA3" w:rsidP="000E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104"/>
      </w:tblGrid>
      <w:tr w:rsidR="000E7FA3" w:rsidRPr="008678AE" w:rsidTr="000E7FA3">
        <w:tc>
          <w:tcPr>
            <w:tcW w:w="959" w:type="dxa"/>
            <w:shd w:val="clear" w:color="auto" w:fill="auto"/>
          </w:tcPr>
          <w:p w:rsidR="000E7FA3" w:rsidRPr="008678AE" w:rsidRDefault="000E7FA3" w:rsidP="00826DD9">
            <w:pPr>
              <w:rPr>
                <w:b/>
              </w:rPr>
            </w:pPr>
            <w:r w:rsidRPr="008678AE">
              <w:rPr>
                <w:b/>
              </w:rPr>
              <w:t>KODU</w:t>
            </w:r>
          </w:p>
        </w:tc>
        <w:tc>
          <w:tcPr>
            <w:tcW w:w="8104" w:type="dxa"/>
            <w:shd w:val="clear" w:color="auto" w:fill="auto"/>
          </w:tcPr>
          <w:p w:rsidR="000E7FA3" w:rsidRPr="008678AE" w:rsidRDefault="000E7FA3" w:rsidP="00826DD9">
            <w:pPr>
              <w:rPr>
                <w:b/>
              </w:rPr>
            </w:pPr>
            <w:r w:rsidRPr="008678AE">
              <w:rPr>
                <w:b/>
              </w:rPr>
              <w:t>ADI</w:t>
            </w:r>
          </w:p>
        </w:tc>
      </w:tr>
      <w:tr w:rsidR="000E7FA3" w:rsidRPr="008678AE" w:rsidTr="000E7FA3">
        <w:tc>
          <w:tcPr>
            <w:tcW w:w="959" w:type="dxa"/>
            <w:shd w:val="clear" w:color="auto" w:fill="auto"/>
          </w:tcPr>
          <w:p w:rsidR="000E7FA3" w:rsidRPr="008678AE" w:rsidRDefault="000E7FA3" w:rsidP="00826DD9"/>
        </w:tc>
        <w:tc>
          <w:tcPr>
            <w:tcW w:w="8104" w:type="dxa"/>
            <w:shd w:val="clear" w:color="auto" w:fill="auto"/>
          </w:tcPr>
          <w:p w:rsidR="000E7FA3" w:rsidRPr="008678AE" w:rsidRDefault="000E7FA3" w:rsidP="00826DD9"/>
        </w:tc>
      </w:tr>
    </w:tbl>
    <w:p w:rsidR="000E7FA3" w:rsidRPr="008678AE" w:rsidRDefault="000E7FA3" w:rsidP="000E7FA3">
      <w:r w:rsidRPr="008678AE">
        <w:rPr>
          <w:noProof/>
          <w:lang w:eastAsia="tr-T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239395</wp:posOffset>
                </wp:positionV>
                <wp:extent cx="5742940" cy="2038350"/>
                <wp:effectExtent l="0" t="0" r="10160" b="1905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2038350"/>
                        </a:xfrm>
                        <a:prstGeom prst="rect">
                          <a:avLst/>
                        </a:prstGeom>
                        <a:solidFill>
                          <a:srgbClr val="FFFFFF"/>
                        </a:solidFill>
                        <a:ln w="9525">
                          <a:solidFill>
                            <a:srgbClr val="000000"/>
                          </a:solidFill>
                          <a:miter lim="800000"/>
                          <a:headEnd/>
                          <a:tailEnd/>
                        </a:ln>
                      </wps:spPr>
                      <wps:txbx>
                        <w:txbxContent>
                          <w:p w:rsidR="000E7FA3" w:rsidRDefault="000E7FA3" w:rsidP="000E7FA3">
                            <w:pPr>
                              <w:spacing w:line="0" w:lineRule="atLeast"/>
                              <w:jc w:val="both"/>
                              <w:rPr>
                                <w:b/>
                                <w:sz w:val="16"/>
                                <w:szCs w:val="16"/>
                              </w:rPr>
                            </w:pPr>
                            <w:r>
                              <w:rPr>
                                <w:b/>
                                <w:sz w:val="16"/>
                                <w:szCs w:val="16"/>
                              </w:rPr>
                              <w:t>İLGİLİ YÖNETMELİK MADDESİ</w:t>
                            </w:r>
                          </w:p>
                          <w:p w:rsidR="000E7FA3" w:rsidRDefault="000E7FA3" w:rsidP="000E7FA3">
                            <w:pPr>
                              <w:spacing w:line="0" w:lineRule="atLeast"/>
                              <w:jc w:val="both"/>
                              <w:rPr>
                                <w:b/>
                                <w:sz w:val="16"/>
                                <w:szCs w:val="16"/>
                              </w:rPr>
                            </w:pPr>
                            <w:r>
                              <w:rPr>
                                <w:b/>
                                <w:sz w:val="16"/>
                                <w:szCs w:val="16"/>
                              </w:rPr>
                              <w:t>ARDAHAN</w:t>
                            </w:r>
                            <w:r w:rsidRPr="00CC6E4D">
                              <w:rPr>
                                <w:b/>
                                <w:sz w:val="16"/>
                                <w:szCs w:val="16"/>
                              </w:rPr>
                              <w:t xml:space="preserve"> ÜNİVERSİTESİ</w:t>
                            </w:r>
                            <w:r>
                              <w:rPr>
                                <w:b/>
                                <w:sz w:val="16"/>
                                <w:szCs w:val="16"/>
                              </w:rPr>
                              <w:t xml:space="preserve"> ÖNLİSANS-</w:t>
                            </w:r>
                            <w:r w:rsidRPr="00CC6E4D">
                              <w:rPr>
                                <w:b/>
                                <w:sz w:val="16"/>
                                <w:szCs w:val="16"/>
                              </w:rPr>
                              <w:t xml:space="preserve"> LİSANS EĞİTİM-ÖĞRETİM VE SINAV YÖNETMELİĞİ</w:t>
                            </w:r>
                          </w:p>
                          <w:p w:rsidR="000E7FA3" w:rsidRPr="0016699A" w:rsidRDefault="000E7FA3" w:rsidP="000E7FA3">
                            <w:pPr>
                              <w:spacing w:line="0" w:lineRule="atLeast"/>
                              <w:jc w:val="both"/>
                              <w:rPr>
                                <w:b/>
                                <w:sz w:val="2"/>
                                <w:szCs w:val="2"/>
                              </w:rPr>
                            </w:pPr>
                          </w:p>
                          <w:p w:rsidR="000E7FA3" w:rsidRPr="000E7FA3" w:rsidRDefault="000E7FA3" w:rsidP="000E7FA3">
                            <w:pPr>
                              <w:tabs>
                                <w:tab w:val="left" w:pos="566"/>
                              </w:tabs>
                              <w:spacing w:line="240" w:lineRule="exact"/>
                              <w:ind w:firstLine="566"/>
                              <w:jc w:val="both"/>
                              <w:rPr>
                                <w:rFonts w:eastAsia="ヒラギノ明朝 Pro W3"/>
                                <w:b/>
                                <w:sz w:val="16"/>
                                <w:szCs w:val="16"/>
                              </w:rPr>
                            </w:pPr>
                            <w:r w:rsidRPr="000E7FA3">
                              <w:rPr>
                                <w:rFonts w:eastAsia="ヒラギノ明朝 Pro W3"/>
                                <w:b/>
                                <w:sz w:val="16"/>
                                <w:szCs w:val="16"/>
                              </w:rPr>
                              <w:t>Tek ders sınavı</w:t>
                            </w:r>
                          </w:p>
                          <w:p w:rsidR="000E7FA3" w:rsidRPr="000E7FA3" w:rsidRDefault="000E7FA3" w:rsidP="000E7FA3">
                            <w:pPr>
                              <w:tabs>
                                <w:tab w:val="left" w:pos="566"/>
                              </w:tabs>
                              <w:spacing w:line="240" w:lineRule="exact"/>
                              <w:ind w:firstLine="566"/>
                              <w:jc w:val="both"/>
                              <w:rPr>
                                <w:rFonts w:eastAsia="ヒラギノ明朝 Pro W3"/>
                                <w:sz w:val="16"/>
                                <w:szCs w:val="16"/>
                              </w:rPr>
                            </w:pPr>
                            <w:r w:rsidRPr="000E7FA3">
                              <w:rPr>
                                <w:rFonts w:eastAsia="ヒラギノ明朝 Pro W3"/>
                                <w:b/>
                                <w:sz w:val="16"/>
                                <w:szCs w:val="16"/>
                              </w:rPr>
                              <w:t>MADDE 34 –</w:t>
                            </w:r>
                            <w:r w:rsidRPr="000E7FA3">
                              <w:rPr>
                                <w:rFonts w:eastAsia="ヒラギノ明朝 Pro W3"/>
                                <w:sz w:val="16"/>
                                <w:szCs w:val="16"/>
                              </w:rPr>
                              <w:t xml:space="preserve"> (1) Mezuniyeti için azami öğrenim süresini kullanmamış öğrencilerden, devam şartını yerine getirmiş olduğu tek dersten sorumluluğu kalan veya mezuniyeti için GNO’sunun en az 2,00 olma şartı hariç, tüm gerekleri yerine getirmiş öğrencilere; bu sınav sonucu alacağı notun katkısıyla GNO’sunu en az 2,00 düzeyine çekebilecek durumda olması koşuluyla, yarıyıl/yıl sonunda yalnızca bir dersten tek ders sınav hakkı tanınır. Tek ders sınav günü akademik takvimde belirtilir.</w:t>
                            </w:r>
                          </w:p>
                          <w:p w:rsidR="000E7FA3" w:rsidRPr="000E7FA3" w:rsidRDefault="000E7FA3" w:rsidP="000E7FA3">
                            <w:pPr>
                              <w:tabs>
                                <w:tab w:val="left" w:pos="566"/>
                              </w:tabs>
                              <w:spacing w:line="240" w:lineRule="exact"/>
                              <w:ind w:firstLine="566"/>
                              <w:jc w:val="both"/>
                              <w:rPr>
                                <w:rFonts w:eastAsia="ヒラギノ明朝 Pro W3"/>
                                <w:sz w:val="16"/>
                                <w:szCs w:val="16"/>
                              </w:rPr>
                            </w:pPr>
                            <w:r w:rsidRPr="000E7FA3">
                              <w:rPr>
                                <w:rFonts w:eastAsia="ヒラギノ明朝 Pro W3"/>
                                <w:sz w:val="16"/>
                                <w:szCs w:val="16"/>
                              </w:rPr>
                              <w:t>(2) Tek ders sınavında alınan not ham başarı notu sayılır ve Senato tarafından belirlenen esaslara göre harf notuna çevrilir. Başarısızlık halinde, söz konusu ders bir sonraki yarıyılda/yılda tekrarlanır veya öğrenci, akademik takvimde belirtilen tarihte yapılacak olan bir sonraki tek ders sınavına alınır.</w:t>
                            </w:r>
                          </w:p>
                          <w:p w:rsidR="000E7FA3" w:rsidRPr="000E7FA3" w:rsidRDefault="000E7FA3" w:rsidP="000E7FA3">
                            <w:pPr>
                              <w:rPr>
                                <w:sz w:val="16"/>
                                <w:szCs w:val="16"/>
                              </w:rPr>
                            </w:pPr>
                            <w:r w:rsidRPr="000E7FA3">
                              <w:rPr>
                                <w:rFonts w:eastAsia="ヒラギノ明朝 Pro W3"/>
                                <w:sz w:val="16"/>
                                <w:szCs w:val="16"/>
                              </w:rPr>
                              <w:t>(3) Tek dersten kalmış olan öğrenciler, tek ders mezuniyet sınavına katıldıktan sonra başarısız olmaları durumunda, bu dersi, dersin verildiği döneme ait harcı/öğrenim ücretini yatırarak kayıt yaptırıp tekrar alması gerekir</w:t>
                            </w:r>
                            <w:r w:rsidRPr="000E7FA3">
                              <w:rPr>
                                <w:rFonts w:eastAsia="ヒラギノ明朝 Pro W3"/>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01pt;margin-top:18.85pt;width:452.2pt;height:16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">
                <v:textbox>
                  <w:txbxContent>
                    <w:p w:rsidR="000E7FA3" w:rsidRDefault="000E7FA3" w:rsidP="000E7FA3">
                      <w:pPr>
                        <w:spacing w:line="0" w:lineRule="atLeast"/>
                        <w:jc w:val="both"/>
                        <w:rPr>
                          <w:b/>
                          <w:sz w:val="16"/>
                          <w:szCs w:val="16"/>
                        </w:rPr>
                      </w:pPr>
                      <w:r>
                        <w:rPr>
                          <w:b/>
                          <w:sz w:val="16"/>
                          <w:szCs w:val="16"/>
                        </w:rPr>
                        <w:t>İLGİLİ YÖNETMELİK MADDESİ</w:t>
                      </w:r>
                    </w:p>
                    <w:p w:rsidR="000E7FA3" w:rsidRDefault="000E7FA3" w:rsidP="000E7FA3">
                      <w:pPr>
                        <w:spacing w:line="0" w:lineRule="atLeast"/>
                        <w:jc w:val="both"/>
                        <w:rPr>
                          <w:b/>
                          <w:sz w:val="16"/>
                          <w:szCs w:val="16"/>
                        </w:rPr>
                      </w:pPr>
                      <w:r>
                        <w:rPr>
                          <w:b/>
                          <w:sz w:val="16"/>
                          <w:szCs w:val="16"/>
                        </w:rPr>
                        <w:t>ARDAHAN</w:t>
                      </w:r>
                      <w:r w:rsidRPr="00CC6E4D">
                        <w:rPr>
                          <w:b/>
                          <w:sz w:val="16"/>
                          <w:szCs w:val="16"/>
                        </w:rPr>
                        <w:t xml:space="preserve"> ÜNİVERSİTESİ</w:t>
                      </w:r>
                      <w:r>
                        <w:rPr>
                          <w:b/>
                          <w:sz w:val="16"/>
                          <w:szCs w:val="16"/>
                        </w:rPr>
                        <w:t xml:space="preserve"> ÖNLİSANS-</w:t>
                      </w:r>
                      <w:r w:rsidRPr="00CC6E4D">
                        <w:rPr>
                          <w:b/>
                          <w:sz w:val="16"/>
                          <w:szCs w:val="16"/>
                        </w:rPr>
                        <w:t xml:space="preserve"> LİSANS EĞİTİM-ÖĞRETİM VE SINAV YÖNETMELİĞİ</w:t>
                      </w:r>
                    </w:p>
                    <w:p w:rsidR="000E7FA3" w:rsidRPr="0016699A" w:rsidRDefault="000E7FA3" w:rsidP="000E7FA3">
                      <w:pPr>
                        <w:spacing w:line="0" w:lineRule="atLeast"/>
                        <w:jc w:val="both"/>
                        <w:rPr>
                          <w:b/>
                          <w:sz w:val="2"/>
                          <w:szCs w:val="2"/>
                        </w:rPr>
                      </w:pPr>
                    </w:p>
                    <w:p w:rsidR="000E7FA3" w:rsidRPr="000E7FA3" w:rsidRDefault="000E7FA3" w:rsidP="000E7FA3">
                      <w:pPr>
                        <w:tabs>
                          <w:tab w:val="left" w:pos="566"/>
                        </w:tabs>
                        <w:spacing w:line="240" w:lineRule="exact"/>
                        <w:ind w:firstLine="566"/>
                        <w:jc w:val="both"/>
                        <w:rPr>
                          <w:rFonts w:eastAsia="ヒラギノ明朝 Pro W3"/>
                          <w:b/>
                          <w:sz w:val="16"/>
                          <w:szCs w:val="16"/>
                        </w:rPr>
                      </w:pPr>
                      <w:r w:rsidRPr="000E7FA3">
                        <w:rPr>
                          <w:rFonts w:eastAsia="ヒラギノ明朝 Pro W3"/>
                          <w:b/>
                          <w:sz w:val="16"/>
                          <w:szCs w:val="16"/>
                        </w:rPr>
                        <w:t>Tek ders sınavı</w:t>
                      </w:r>
                    </w:p>
                    <w:p w:rsidR="000E7FA3" w:rsidRPr="000E7FA3" w:rsidRDefault="000E7FA3" w:rsidP="000E7FA3">
                      <w:pPr>
                        <w:tabs>
                          <w:tab w:val="left" w:pos="566"/>
                        </w:tabs>
                        <w:spacing w:line="240" w:lineRule="exact"/>
                        <w:ind w:firstLine="566"/>
                        <w:jc w:val="both"/>
                        <w:rPr>
                          <w:rFonts w:eastAsia="ヒラギノ明朝 Pro W3"/>
                          <w:sz w:val="16"/>
                          <w:szCs w:val="16"/>
                        </w:rPr>
                      </w:pPr>
                      <w:r w:rsidRPr="000E7FA3">
                        <w:rPr>
                          <w:rFonts w:eastAsia="ヒラギノ明朝 Pro W3"/>
                          <w:b/>
                          <w:sz w:val="16"/>
                          <w:szCs w:val="16"/>
                        </w:rPr>
                        <w:t>MADDE 34 –</w:t>
                      </w:r>
                      <w:r w:rsidRPr="000E7FA3">
                        <w:rPr>
                          <w:rFonts w:eastAsia="ヒラギノ明朝 Pro W3"/>
                          <w:sz w:val="16"/>
                          <w:szCs w:val="16"/>
                        </w:rPr>
                        <w:t xml:space="preserve"> (1) Mezuniyeti için azami öğrenim süresini kullanmamış öğrencilerden, devam şartını yerine getirmiş olduğu tek dersten sorumluluğu kalan veya mezuniyeti için GNO’sunun en az 2,00 olma şartı hariç, tüm gerekleri yerine getirmiş öğrencilere; bu sınav sonucu alacağı notun katkısıyla GNO’sunu en az 2,00 düzeyine çekebilecek durumda olması koşuluyla, yarıyıl/yıl sonunda yalnızca bir dersten tek ders sınav hakkı tanınır. Tek ders sınav günü akademik takvimde belirtilir.</w:t>
                      </w:r>
                    </w:p>
                    <w:p w:rsidR="000E7FA3" w:rsidRPr="000E7FA3" w:rsidRDefault="000E7FA3" w:rsidP="000E7FA3">
                      <w:pPr>
                        <w:tabs>
                          <w:tab w:val="left" w:pos="566"/>
                        </w:tabs>
                        <w:spacing w:line="240" w:lineRule="exact"/>
                        <w:ind w:firstLine="566"/>
                        <w:jc w:val="both"/>
                        <w:rPr>
                          <w:rFonts w:eastAsia="ヒラギノ明朝 Pro W3"/>
                          <w:sz w:val="16"/>
                          <w:szCs w:val="16"/>
                        </w:rPr>
                      </w:pPr>
                      <w:r w:rsidRPr="000E7FA3">
                        <w:rPr>
                          <w:rFonts w:eastAsia="ヒラギノ明朝 Pro W3"/>
                          <w:sz w:val="16"/>
                          <w:szCs w:val="16"/>
                        </w:rPr>
                        <w:t>(2) Tek ders sınavında alınan not ham başarı notu sayılır ve Senato tarafından belirlenen esaslara göre harf notuna çevrilir. Başarısızlık halinde, söz konusu ders bir sonraki yarıyılda/yılda tekrarlanır veya öğrenci, akademik takvimde belirtilen tarihte yapılacak olan bir sonraki tek ders sınavına alınır.</w:t>
                      </w:r>
                    </w:p>
                    <w:p w:rsidR="000E7FA3" w:rsidRPr="000E7FA3" w:rsidRDefault="000E7FA3" w:rsidP="000E7FA3">
                      <w:pPr>
                        <w:rPr>
                          <w:sz w:val="16"/>
                          <w:szCs w:val="16"/>
                        </w:rPr>
                      </w:pPr>
                      <w:r w:rsidRPr="000E7FA3">
                        <w:rPr>
                          <w:rFonts w:eastAsia="ヒラギノ明朝 Pro W3"/>
                          <w:sz w:val="16"/>
                          <w:szCs w:val="16"/>
                        </w:rPr>
                        <w:t>(3) Tek dersten kalmış olan öğrenciler, tek ders mezuniyet sınavına katıldıktan sonra başarısız olmaları durumunda, bu dersi, dersin verildiği döneme ait harcı/öğrenim ücretini yatırarak kayıt yaptırıp tekrar alması gerekir</w:t>
                      </w:r>
                      <w:r w:rsidRPr="000E7FA3">
                        <w:rPr>
                          <w:rFonts w:eastAsia="ヒラギノ明朝 Pro W3"/>
                          <w:sz w:val="16"/>
                          <w:szCs w:val="16"/>
                        </w:rPr>
                        <w:t>.</w:t>
                      </w:r>
                    </w:p>
                  </w:txbxContent>
                </v:textbox>
                <w10:wrap type="square" anchorx="margin"/>
              </v:shape>
            </w:pict>
          </mc:Fallback>
        </mc:AlternateContent>
      </w:r>
    </w:p>
    <w:p w:rsidR="00054E9E" w:rsidRDefault="00054E9E"/>
    <w:sectPr w:rsidR="00054E9E" w:rsidSect="00CC6E4D">
      <w:headerReference w:type="default" r:id="rId7"/>
      <w:pgSz w:w="11906" w:h="16838"/>
      <w:pgMar w:top="851"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FD8" w:rsidRDefault="005D1FD8" w:rsidP="000E7FA3">
      <w:r>
        <w:separator/>
      </w:r>
    </w:p>
  </w:endnote>
  <w:endnote w:type="continuationSeparator" w:id="0">
    <w:p w:rsidR="005D1FD8" w:rsidRDefault="005D1FD8" w:rsidP="000E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ndara">
    <w:panose1 w:val="020E0502030303020204"/>
    <w:charset w:val="A2"/>
    <w:family w:val="swiss"/>
    <w:pitch w:val="variable"/>
    <w:sig w:usb0="A00002EF" w:usb1="4000A44B"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FD8" w:rsidRDefault="005D1FD8" w:rsidP="000E7FA3">
      <w:r>
        <w:separator/>
      </w:r>
    </w:p>
  </w:footnote>
  <w:footnote w:type="continuationSeparator" w:id="0">
    <w:p w:rsidR="005D1FD8" w:rsidRDefault="005D1FD8" w:rsidP="000E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57C" w:rsidRPr="00D3157C" w:rsidRDefault="005D1FD8">
    <w:pPr>
      <w:pStyle w:val="a"/>
      <w:rPr>
        <w:b/>
      </w:rPr>
    </w:pPr>
    <w:r>
      <w:tab/>
    </w:r>
    <w:r>
      <w:tab/>
    </w:r>
    <w:r w:rsidR="000E7FA3">
      <w:rPr>
        <w:b/>
      </w:rPr>
      <w:t>FORM-7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CC"/>
    <w:rsid w:val="00054E9E"/>
    <w:rsid w:val="000E7FA3"/>
    <w:rsid w:val="005D1FD8"/>
    <w:rsid w:val="00AC10CC"/>
    <w:rsid w:val="00CD6C90"/>
    <w:rsid w:val="00F37C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75D2"/>
  <w15:chartTrackingRefBased/>
  <w15:docId w15:val="{0565B1B9-2A65-4CF2-BD39-2667DB3E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A3"/>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0E7FA3"/>
    <w:pPr>
      <w:keepNext/>
      <w:numPr>
        <w:numId w:val="1"/>
      </w:numPr>
      <w:jc w:val="center"/>
      <w:outlineLvl w:val="0"/>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7FA3"/>
    <w:rPr>
      <w:rFonts w:ascii="Arial" w:eastAsia="Times New Roman" w:hAnsi="Arial" w:cs="Arial"/>
      <w:b/>
      <w:bCs/>
      <w:sz w:val="24"/>
      <w:szCs w:val="24"/>
      <w:lang w:eastAsia="zh-CN"/>
    </w:rPr>
  </w:style>
  <w:style w:type="paragraph" w:styleId="a">
    <w:basedOn w:val="Normal"/>
    <w:next w:val="stBilgi"/>
    <w:rsid w:val="000E7FA3"/>
    <w:pPr>
      <w:tabs>
        <w:tab w:val="center" w:pos="4536"/>
        <w:tab w:val="right" w:pos="9072"/>
      </w:tabs>
    </w:pPr>
  </w:style>
  <w:style w:type="paragraph" w:styleId="stBilgi">
    <w:name w:val="header"/>
    <w:basedOn w:val="Normal"/>
    <w:link w:val="stBilgiChar"/>
    <w:uiPriority w:val="99"/>
    <w:unhideWhenUsed/>
    <w:rsid w:val="000E7FA3"/>
    <w:pPr>
      <w:tabs>
        <w:tab w:val="center" w:pos="4536"/>
        <w:tab w:val="right" w:pos="9072"/>
      </w:tabs>
    </w:pPr>
  </w:style>
  <w:style w:type="character" w:customStyle="1" w:styleId="stBilgiChar">
    <w:name w:val="Üst Bilgi Char"/>
    <w:basedOn w:val="VarsaylanParagrafYazTipi"/>
    <w:link w:val="stBilgi"/>
    <w:uiPriority w:val="99"/>
    <w:rsid w:val="000E7FA3"/>
    <w:rPr>
      <w:rFonts w:ascii="Times New Roman" w:eastAsia="Times New Roman" w:hAnsi="Times New Roman" w:cs="Times New Roman"/>
      <w:sz w:val="24"/>
      <w:szCs w:val="24"/>
      <w:lang w:eastAsia="zh-CN"/>
    </w:rPr>
  </w:style>
  <w:style w:type="paragraph" w:styleId="GvdeMetni">
    <w:name w:val="Body Text"/>
    <w:basedOn w:val="Normal"/>
    <w:link w:val="GvdeMetniChar"/>
    <w:rsid w:val="000E7FA3"/>
    <w:pPr>
      <w:widowControl w:val="0"/>
      <w:spacing w:after="120"/>
    </w:pPr>
    <w:rPr>
      <w:rFonts w:eastAsia="Lucida Sans Unicode"/>
      <w:kern w:val="1"/>
      <w:lang/>
    </w:rPr>
  </w:style>
  <w:style w:type="character" w:customStyle="1" w:styleId="GvdeMetniChar">
    <w:name w:val="Gövde Metni Char"/>
    <w:basedOn w:val="VarsaylanParagrafYazTipi"/>
    <w:link w:val="GvdeMetni"/>
    <w:rsid w:val="000E7FA3"/>
    <w:rPr>
      <w:rFonts w:ascii="Times New Roman" w:eastAsia="Lucida Sans Unicode" w:hAnsi="Times New Roman" w:cs="Times New Roman"/>
      <w:kern w:val="1"/>
      <w:sz w:val="24"/>
      <w:szCs w:val="24"/>
      <w:lang/>
    </w:rPr>
  </w:style>
  <w:style w:type="paragraph" w:styleId="AltBilgi">
    <w:name w:val="footer"/>
    <w:basedOn w:val="Normal"/>
    <w:link w:val="AltBilgiChar"/>
    <w:uiPriority w:val="99"/>
    <w:unhideWhenUsed/>
    <w:rsid w:val="000E7FA3"/>
    <w:pPr>
      <w:tabs>
        <w:tab w:val="center" w:pos="4536"/>
        <w:tab w:val="right" w:pos="9072"/>
      </w:tabs>
    </w:pPr>
  </w:style>
  <w:style w:type="character" w:customStyle="1" w:styleId="AltBilgiChar">
    <w:name w:val="Alt Bilgi Char"/>
    <w:basedOn w:val="VarsaylanParagrafYazTipi"/>
    <w:link w:val="AltBilgi"/>
    <w:uiPriority w:val="99"/>
    <w:rsid w:val="000E7FA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Arü</dc:creator>
  <cp:keywords/>
  <dc:description/>
  <cp:lastModifiedBy>Arü</cp:lastModifiedBy>
  <cp:revision>2</cp:revision>
  <dcterms:created xsi:type="dcterms:W3CDTF">2017-02-03T10:51:00Z</dcterms:created>
  <dcterms:modified xsi:type="dcterms:W3CDTF">2017-02-03T10:51:00Z</dcterms:modified>
</cp:coreProperties>
</file>